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0"/>
        <w:ind w:right="0" w:firstLine="902"/>
        <w:jc w:val="center"/>
        <w:rPr>
          <w:b/>
          <w:b/>
        </w:rPr>
      </w:pPr>
      <w:r>
        <w:rPr>
          <w:b/>
        </w:rPr>
        <w:t>COMUNICAZIONE OBBLIGATORIA DELL’ASSENZA DI CAUSE DI INCONFERIBILITA’ E DI INCOMPATIBILITA’ ai sensi del d.lgs. n.39/2013</w:t>
      </w:r>
    </w:p>
    <w:p>
      <w:pPr>
        <w:pStyle w:val="Normal"/>
        <w:spacing w:lineRule="auto" w:line="360" w:before="240" w:after="0"/>
        <w:ind w:right="0" w:firstLine="902"/>
        <w:rPr/>
      </w:pPr>
      <w:r>
        <w:rPr/>
      </w:r>
    </w:p>
    <w:p>
      <w:pPr>
        <w:pStyle w:val="Normal"/>
        <w:spacing w:lineRule="auto" w:line="360" w:before="240" w:after="0"/>
        <w:ind w:right="0" w:firstLine="902"/>
        <w:jc w:val="both"/>
        <w:rPr/>
      </w:pPr>
      <w:r>
        <w:rPr>
          <w:rFonts w:cs="Book Antiqua" w:ascii="Book Antiqua" w:hAnsi="Book Antiqua"/>
          <w:sz w:val="20"/>
          <w:szCs w:val="20"/>
        </w:rPr>
        <w:t xml:space="preserve">Il sottoscritto  </w:t>
      </w:r>
      <w:r>
        <w:rPr>
          <w:rFonts w:cs="Book Antiqua" w:ascii="Book Antiqua" w:hAnsi="Book Antiqua"/>
          <w:b/>
          <w:bCs/>
          <w:sz w:val="20"/>
          <w:szCs w:val="20"/>
        </w:rPr>
        <w:t xml:space="preserve">Roberto Gaudio </w:t>
      </w:r>
      <w:r>
        <w:rPr>
          <w:rFonts w:cs="Book Antiqua" w:ascii="Book Antiqua" w:hAnsi="Book Antiqua"/>
          <w:sz w:val="20"/>
          <w:szCs w:val="20"/>
        </w:rPr>
        <w:t xml:space="preserve"> ai fini dell’attribuzione dell’incarico di </w:t>
      </w:r>
      <w:r>
        <w:rPr>
          <w:rFonts w:cs="Book Antiqua" w:ascii="Book Antiqua" w:hAnsi="Book Antiqua"/>
          <w:sz w:val="20"/>
          <w:szCs w:val="20"/>
        </w:rPr>
        <w:t>Presidente</w:t>
      </w:r>
      <w:r>
        <w:rPr>
          <w:rFonts w:cs="Book Antiqua" w:ascii="Book Antiqua" w:hAnsi="Book Antiqua"/>
          <w:sz w:val="20"/>
          <w:szCs w:val="20"/>
        </w:rPr>
        <w:t xml:space="preserve"> dell</w:t>
      </w:r>
      <w:r>
        <w:rPr>
          <w:rFonts w:cs="Book Antiqua" w:ascii="Book Antiqua" w:hAnsi="Book Antiqua"/>
          <w:sz w:val="20"/>
          <w:szCs w:val="20"/>
        </w:rPr>
        <w:t>'Ordine</w:t>
      </w:r>
      <w:r>
        <w:rPr>
          <w:rFonts w:cs="Book Antiqua" w:ascii="Book Antiqua" w:hAnsi="Book Antiqua"/>
          <w:sz w:val="20"/>
          <w:szCs w:val="20"/>
        </w:rPr>
        <w:t xml:space="preserve"> dei Dottori Agronomi e Dottori Forestali del</w:t>
      </w:r>
      <w:r>
        <w:rPr>
          <w:rFonts w:cs="Book Antiqua" w:ascii="Book Antiqua" w:hAnsi="Book Antiqua"/>
          <w:sz w:val="20"/>
          <w:szCs w:val="20"/>
        </w:rPr>
        <w:t xml:space="preserve">la </w:t>
      </w:r>
      <w:r>
        <w:rPr>
          <w:rFonts w:cs="Book Antiqua" w:ascii="Book Antiqua" w:hAnsi="Book Antiqua"/>
          <w:sz w:val="20"/>
          <w:szCs w:val="20"/>
        </w:rPr>
        <w:t>Valle d’Aosta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120" w:after="120"/>
        <w:jc w:val="center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AVVALENDOMI</w:t>
      </w:r>
    </w:p>
    <w:p>
      <w:pPr>
        <w:pStyle w:val="Normal"/>
        <w:spacing w:lineRule="auto" w:line="240" w:before="240" w:after="24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delle disposizioni di cui al D.P.R. n. 445/2000 e s.m.i.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 w:before="120" w:after="120"/>
        <w:ind w:left="3960" w:right="3878" w:hanging="0"/>
        <w:jc w:val="center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CONSAPEVOLE</w:t>
      </w:r>
    </w:p>
    <w:p>
      <w:pPr>
        <w:pStyle w:val="Normal"/>
        <w:spacing w:lineRule="auto" w:line="240" w:before="240" w:after="12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delle sanzioni previste dall’art. 76 della richiamata normativa per le ipotesi di falsità in atti e dichiarazioni mendaci nonché delle conseguenze di cui all’art. 75, comma 1, del medesimo D.P.R. e di cui all’art. 20, comma 5, del d.lgs. n. 39/2013, sotto la mia personale responsabilità ai fini di quanto previsto dal d.lgs. n 39/2013, consapevole anche della nullità degli incarichi conferiti in violazione delle disposizioni del d.lgs. n. 39/2013</w:t>
      </w:r>
    </w:p>
    <w:p>
      <w:pPr>
        <w:pStyle w:val="Normal"/>
        <w:spacing w:lineRule="auto" w:line="360" w:before="240" w:after="120"/>
        <w:jc w:val="center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D I C H I A R O</w:t>
      </w:r>
    </w:p>
    <w:p>
      <w:pPr>
        <w:pStyle w:val="Normal"/>
        <w:spacing w:lineRule="auto" w:line="360" w:before="240" w:after="120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con la presente l’ assenza di cause di inconferibilità e di incompatibilità previste dal d.lgs. n. 39/2013</w:t>
      </w:r>
    </w:p>
    <w:p>
      <w:pPr>
        <w:pStyle w:val="Normal"/>
        <w:numPr>
          <w:ilvl w:val="0"/>
          <w:numId w:val="5"/>
        </w:numPr>
        <w:spacing w:lineRule="auto" w:line="240" w:before="120" w:after="120"/>
        <w:ind w:left="357" w:hanging="357"/>
        <w:jc w:val="both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Cause di inconferibilità</w:t>
      </w:r>
    </w:p>
    <w:p>
      <w:pPr>
        <w:pStyle w:val="Normal"/>
        <w:spacing w:lineRule="auto" w:line="240" w:before="120" w:after="120"/>
        <w:ind w:left="360" w:hanging="0"/>
        <w:jc w:val="both"/>
        <w:rPr>
          <w:rFonts w:ascii="Book Antiqua" w:hAnsi="Book Antiqua" w:cs="Book Antiqua"/>
          <w:sz w:val="20"/>
          <w:szCs w:val="20"/>
        </w:rPr>
      </w:pPr>
      <w:r>
        <w:rPr/>
        <w:t xml:space="preserve">X </w:t>
      </w:r>
      <w:r>
        <w:rPr>
          <w:rFonts w:cs="Book Antiqua" w:ascii="Book Antiqua" w:hAnsi="Book Antiqua"/>
          <w:sz w:val="20"/>
          <w:szCs w:val="20"/>
        </w:rPr>
        <w:t xml:space="preserve">di non essere stato/a condannato/a, anche con sentenza non passata in giudicato, per i reati previsti nel capo I del titolo II del libro secondo del codice penale, riepilogati nella </w:t>
      </w:r>
      <w:r>
        <w:rPr>
          <w:rFonts w:cs="Book Antiqua" w:ascii="Book Antiqua" w:hAnsi="Book Antiqua"/>
          <w:b/>
          <w:i/>
          <w:sz w:val="20"/>
          <w:szCs w:val="20"/>
        </w:rPr>
        <w:t>nota 1</w:t>
      </w:r>
      <w:r>
        <w:rPr>
          <w:rFonts w:cs="Book Antiqua" w:ascii="Book Antiqua" w:hAnsi="Book Antiqua"/>
          <w:sz w:val="20"/>
          <w:szCs w:val="20"/>
        </w:rPr>
        <w:t xml:space="preserve"> (art. 3, comma 1 lettera c), del d.lgs. n 39/2013)</w:t>
      </w:r>
    </w:p>
    <w:p>
      <w:pPr>
        <w:pStyle w:val="Normal"/>
        <w:spacing w:lineRule="auto" w:line="240" w:before="120" w:after="120"/>
        <w:ind w:left="360" w:hanging="0"/>
        <w:jc w:val="both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172_150687605"/>
      <w:bookmarkStart w:id="1" w:name="__Fieldmark__23_1814191028"/>
      <w:bookmarkStart w:id="2" w:name="__Fieldmark__9_895837906"/>
      <w:bookmarkStart w:id="3" w:name="__Fieldmark__31_116388909"/>
      <w:bookmarkStart w:id="4" w:name="__Fieldmark__172_150687605"/>
      <w:bookmarkStart w:id="5" w:name="__Fieldmark__172_150687605"/>
      <w:bookmarkEnd w:id="1"/>
      <w:bookmarkEnd w:id="2"/>
      <w:bookmarkEnd w:id="3"/>
      <w:bookmarkEnd w:id="5"/>
      <w:r>
        <w:rPr/>
      </w:r>
      <w:r>
        <w:fldChar w:fldCharType="end"/>
      </w:r>
      <w:r>
        <w:rPr>
          <w:rFonts w:cs="Book Antiqua" w:ascii="Book Antiqua" w:hAnsi="Book Antiqua"/>
          <w:sz w:val="20"/>
          <w:szCs w:val="20"/>
        </w:rPr>
        <w:t xml:space="preserve">di essere stato/a condannato/a, anche con sentenza non passata in giudicato, per i reati previsti nel capo I del titolo II del libro secondo del codice penale, riepilogati nella </w:t>
      </w:r>
      <w:r>
        <w:rPr>
          <w:rFonts w:cs="Book Antiqua" w:ascii="Book Antiqua" w:hAnsi="Book Antiqua"/>
          <w:b/>
          <w:i/>
          <w:sz w:val="20"/>
          <w:szCs w:val="20"/>
        </w:rPr>
        <w:t>nota 1</w:t>
      </w:r>
      <w:r>
        <w:rPr>
          <w:rFonts w:cs="Book Antiqua" w:ascii="Book Antiqua" w:hAnsi="Book Antiqua"/>
          <w:sz w:val="20"/>
          <w:szCs w:val="20"/>
        </w:rPr>
        <w:t xml:space="preserve"> (art. 3, comma 1 lettera c), del d.lgs. n 39/2013)</w:t>
      </w:r>
    </w:p>
    <w:p>
      <w:pPr>
        <w:pStyle w:val="Normal"/>
        <w:numPr>
          <w:ilvl w:val="0"/>
          <w:numId w:val="6"/>
        </w:numPr>
        <w:spacing w:lineRule="auto" w:line="240" w:before="120" w:after="120"/>
        <w:ind w:left="357" w:hanging="357"/>
        <w:jc w:val="both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 xml:space="preserve">Cause di incompatibilità </w:t>
      </w:r>
    </w:p>
    <w:p>
      <w:pPr>
        <w:pStyle w:val="Normal"/>
        <w:spacing w:lineRule="auto" w:line="240" w:before="120" w:after="120"/>
        <w:ind w:left="360" w:hanging="0"/>
        <w:jc w:val="both"/>
        <w:rPr>
          <w:rFonts w:ascii="Book Antiqua" w:hAnsi="Book Antiqua" w:cs="Book Antiqua"/>
          <w:sz w:val="20"/>
          <w:szCs w:val="20"/>
        </w:rPr>
      </w:pPr>
      <w:r>
        <w:rPr/>
        <w:t xml:space="preserve">X </w:t>
      </w:r>
      <w:r>
        <w:rPr>
          <w:rFonts w:ascii="Times New Roman" w:hAnsi="Times New Roman"/>
        </w:rPr>
        <w:t xml:space="preserve"> </w:t>
      </w:r>
      <w:r>
        <w:rPr>
          <w:rFonts w:cs="Book Antiqua" w:ascii="Book Antiqua" w:hAnsi="Book Antiqua"/>
          <w:sz w:val="20"/>
          <w:szCs w:val="20"/>
        </w:rPr>
        <w:t>di essere consapevole che l’incarico attribuito/da attribuire è incompatibile con le situazioni previste: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97" w:firstLine="23"/>
        <w:jc w:val="both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dall’art. 9, commi 1 e 2 del d.lgs. n. 39/2013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697" w:firstLine="23"/>
        <w:jc w:val="both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 xml:space="preserve">dall’art. 12, commi 1, 2 e 3 del d.lgs. n. 39/2013 </w:t>
      </w:r>
    </w:p>
    <w:p>
      <w:pPr>
        <w:pStyle w:val="Normal"/>
        <w:spacing w:lineRule="auto" w:line="240" w:before="120" w:after="120"/>
        <w:ind w:left="720" w:hanging="0"/>
        <w:jc w:val="both"/>
        <w:rPr>
          <w:rFonts w:ascii="Book Antiqua" w:hAnsi="Book Antiqua" w:cs="Book Antiqua"/>
          <w:b/>
          <w:b/>
          <w:i/>
          <w:i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 xml:space="preserve">riepilogati nella </w:t>
      </w:r>
      <w:r>
        <w:rPr>
          <w:rFonts w:cs="Book Antiqua" w:ascii="Book Antiqua" w:hAnsi="Book Antiqua"/>
          <w:b/>
          <w:i/>
          <w:sz w:val="20"/>
          <w:szCs w:val="20"/>
        </w:rPr>
        <w:t>nota 2</w:t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tbl>
      <w:tblPr>
        <w:tblW w:w="9708" w:type="dxa"/>
        <w:jc w:val="left"/>
        <w:tblInd w:w="7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61"/>
        <w:gridCol w:w="5746"/>
      </w:tblGrid>
      <w:tr>
        <w:trPr/>
        <w:tc>
          <w:tcPr>
            <w:tcW w:w="3961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right" w:pos="10773" w:leader="none"/>
              </w:tabs>
              <w:spacing w:before="0" w:after="120"/>
              <w:jc w:val="both"/>
              <w:rPr/>
            </w:pPr>
            <w:r>
              <w:rPr>
                <w:rFonts w:cs="Square721 BT;Tahoma" w:ascii="Square721 BT;Tahoma" w:hAnsi="Square721 BT;Tahoma"/>
                <w:b/>
                <w:i/>
                <w:sz w:val="18"/>
              </w:rPr>
              <w:t>Aosta, 2</w:t>
            </w:r>
            <w:r>
              <w:rPr>
                <w:rFonts w:cs="Square721 BT;Tahoma" w:ascii="Square721 BT;Tahoma" w:hAnsi="Square721 BT;Tahoma"/>
                <w:b/>
                <w:i/>
                <w:sz w:val="18"/>
              </w:rPr>
              <w:t>9.</w:t>
            </w:r>
            <w:r>
              <w:rPr>
                <w:rFonts w:cs="Square721 BT;Tahoma" w:ascii="Square721 BT;Tahoma" w:hAnsi="Square721 BT;Tahoma"/>
                <w:b/>
                <w:i/>
                <w:sz w:val="18"/>
              </w:rPr>
              <w:t>01.2025</w:t>
            </w:r>
          </w:p>
        </w:tc>
        <w:tc>
          <w:tcPr>
            <w:tcW w:w="5746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right" w:pos="10773" w:leader="none"/>
              </w:tabs>
              <w:spacing w:lineRule="auto" w:line="480" w:before="0" w:after="120"/>
              <w:jc w:val="center"/>
              <w:rPr/>
            </w:pPr>
            <w:r>
              <w:rPr>
                <w:rFonts w:cs="Square721 BT;Tahoma" w:ascii="Square721 BT;Tahoma" w:hAnsi="Square721 BT;Tahoma"/>
                <w:b/>
                <w:i/>
                <w:sz w:val="18"/>
              </w:rPr>
              <w:t>Il Dichiarante</w:t>
              <w:br/>
              <w:t>________________________________________</w:t>
            </w:r>
          </w:p>
        </w:tc>
      </w:tr>
    </w:tbl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</w:r>
    </w:p>
    <w:tbl>
      <w:tblPr>
        <w:tblW w:w="10172" w:type="dxa"/>
        <w:jc w:val="left"/>
        <w:tblInd w:w="-378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8"/>
        <w:gridCol w:w="8653"/>
      </w:tblGrid>
      <w:tr>
        <w:trPr/>
        <w:tc>
          <w:tcPr>
            <w:tcW w:w="1017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Georgia" w:hAnsi="Georgia" w:cs="Georgia"/>
                <w:b/>
                <w:b/>
                <w:color w:val="990000"/>
                <w:sz w:val="32"/>
                <w:szCs w:val="32"/>
              </w:rPr>
            </w:pPr>
            <w:r>
              <w:rPr>
                <w:rFonts w:cs="Georgia" w:ascii="Georgia" w:hAnsi="Georgia"/>
                <w:b/>
                <w:color w:val="990000"/>
              </w:rPr>
              <w:t xml:space="preserve">NOTA </w:t>
            </w:r>
            <w:r>
              <w:rPr>
                <w:rFonts w:cs="Georgia" w:ascii="Georgia" w:hAnsi="Georgia"/>
                <w:b/>
                <w:color w:val="990000"/>
                <w:sz w:val="32"/>
                <w:szCs w:val="32"/>
              </w:rPr>
              <w:t>1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314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Peculato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316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Peculato mediante profitto dell’errore altrui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316 bis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Malversazione a danno dello stato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316 ter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Indebita percezione di erogazioni a danno dello stato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317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Concussione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318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Corruzione per un atto d’ufficio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319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Corruzione per un atto contrario ai doveri d’ufficio 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319 ter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Corruzione in atti giudiziari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320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Corruzione di persona incaricata di pubblico servizio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322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Istigazione alla corruzione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322 bis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Peculato, concussione, corruzione e istigazione alla corruzione di membri degli organi della Comunità Europea e di Stati Esteri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323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Abuso d’ufficio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325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Utilizzazioni di invenzioni o scoperte conosciute per ragioni di ufficio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326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Rivelazione ed utilizzazione di segreti d’ufficio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328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Rifiuto di atti d’ufficio - Omissione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329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Rifiuti o ritardo di obbedienza commesso da un militare o da un agente di pubblica sicurezza 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>Art. 331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>Interruzione di un servizio pubblico o di pubblica necessità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334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Sottrazione o danneggiamento di cose sottoposte a sequestro disposto nel corso di un procedimento penale o dall’autorità amministrativa </w:t>
            </w:r>
          </w:p>
        </w:tc>
      </w:tr>
      <w:tr>
        <w:trPr/>
        <w:tc>
          <w:tcPr>
            <w:tcW w:w="1518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b/>
                <w:b/>
                <w:sz w:val="16"/>
                <w:szCs w:val="16"/>
              </w:rPr>
            </w:pPr>
            <w:r>
              <w:rPr>
                <w:rFonts w:cs="Georgia" w:ascii="Georgia" w:hAnsi="Georgia"/>
                <w:b/>
                <w:sz w:val="16"/>
                <w:szCs w:val="16"/>
              </w:rPr>
              <w:t xml:space="preserve">Art. 335 </w:t>
            </w:r>
          </w:p>
        </w:tc>
        <w:tc>
          <w:tcPr>
            <w:tcW w:w="8653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cs="Georgia" w:ascii="Georgia" w:hAnsi="Georgia"/>
                <w:sz w:val="16"/>
                <w:szCs w:val="16"/>
              </w:rPr>
              <w:t xml:space="preserve">Violazione colposa di doveri inerenti alla custodia di cose sottoposte a sequestro disposto nel corso di un procedimento penale o dall’autorità amministrativa </w:t>
            </w:r>
          </w:p>
        </w:tc>
      </w:tr>
      <w:tr>
        <w:trPr/>
        <w:tc>
          <w:tcPr>
            <w:tcW w:w="1017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spacing w:lineRule="auto" w:line="240" w:before="240" w:after="240"/>
              <w:jc w:val="center"/>
              <w:rPr>
                <w:rFonts w:ascii="Georgia" w:hAnsi="Georgia" w:cs="Georgia"/>
                <w:b/>
                <w:b/>
                <w:color w:val="990000"/>
                <w:sz w:val="32"/>
                <w:szCs w:val="32"/>
              </w:rPr>
            </w:pPr>
            <w:r>
              <w:rPr>
                <w:rFonts w:cs="Georgia" w:ascii="Georgia" w:hAnsi="Georgia"/>
                <w:b/>
                <w:color w:val="990000"/>
              </w:rPr>
              <w:t xml:space="preserve">NOTA </w:t>
            </w:r>
            <w:r>
              <w:rPr>
                <w:rFonts w:cs="Georgia" w:ascii="Georgia" w:hAnsi="Georgia"/>
                <w:b/>
                <w:color w:val="990000"/>
                <w:sz w:val="32"/>
                <w:szCs w:val="32"/>
              </w:rPr>
              <w:t>2</w:t>
            </w:r>
          </w:p>
        </w:tc>
      </w:tr>
      <w:tr>
        <w:trPr/>
        <w:tc>
          <w:tcPr>
            <w:tcW w:w="10171" w:type="dxa"/>
            <w:gridSpan w:val="2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pacing w:lineRule="auto" w:line="240" w:before="120" w:after="120"/>
              <w:jc w:val="both"/>
              <w:rPr>
                <w:rFonts w:ascii="Georgia" w:hAnsi="Georgia" w:cs="Georgia"/>
                <w:b/>
                <w:b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sz w:val="20"/>
                <w:szCs w:val="20"/>
              </w:rPr>
              <w:t>D.Lgs. n. 39/2013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120" w:after="0"/>
              <w:ind w:left="357" w:hanging="357"/>
              <w:jc w:val="both"/>
              <w:rPr>
                <w:rFonts w:ascii="Georgia" w:hAnsi="Georgia" w:cs="Georgia"/>
                <w:b/>
                <w:b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sz w:val="20"/>
                <w:szCs w:val="20"/>
              </w:rPr>
              <w:t>Cause di inconferibilità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3, comma 1 lettera c)</w:t>
            </w:r>
          </w:p>
          <w:p>
            <w:pPr>
              <w:pStyle w:val="Normal"/>
              <w:spacing w:lineRule="auto" w:line="240" w:before="0" w:after="0"/>
              <w:ind w:left="357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</w:rPr>
            </w:pPr>
            <w:r>
              <w:rPr>
                <w:rStyle w:val="Provvnumcomma"/>
                <w:rFonts w:cs="Georgia" w:ascii="Georgia" w:hAnsi="Georgia"/>
                <w:i/>
                <w:color w:val="000000"/>
                <w:sz w:val="14"/>
                <w:szCs w:val="14"/>
              </w:rPr>
              <w:t>1.</w:t>
            </w:r>
            <w:r>
              <w:rPr>
                <w:rFonts w:cs="Georgia" w:ascii="Georgia" w:hAnsi="Georgia"/>
                <w:i/>
                <w:color w:val="000000"/>
                <w:sz w:val="14"/>
                <w:szCs w:val="14"/>
              </w:rPr>
              <w:t>  A coloro che siano stati condannati, anche con sentenza non passata in giudicato, per uno dei reati previsti dal capo I del titolo II del libro secondo del codice penale, non possono essere attribuiti…omissis….c)  gli incarichi dirigenziali, interni e esterni, comunque denominati, nelle pubbliche amministrazioni, negli enti pubblici e negli enti di diritto privato in controllo pubblico di livello nazionale, regionale e locale;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240" w:after="0"/>
              <w:ind w:left="340" w:hanging="340"/>
              <w:jc w:val="both"/>
              <w:rPr>
                <w:rFonts w:ascii="Georgia" w:hAnsi="Georgia" w:cs="Georgia"/>
                <w:b/>
                <w:b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sz w:val="20"/>
                <w:szCs w:val="20"/>
              </w:rPr>
              <w:t>Cause di incompatibilità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40" w:hanging="340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9, comma 1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</w:rPr>
            </w:pPr>
            <w:r>
              <w:rPr>
                <w:rStyle w:val="Provvnumcomma"/>
                <w:rFonts w:cs="Georgia" w:ascii="Georgia" w:hAnsi="Georgia"/>
                <w:i/>
                <w:color w:val="000000"/>
                <w:sz w:val="14"/>
                <w:szCs w:val="14"/>
              </w:rPr>
              <w:t>1.</w:t>
            </w:r>
            <w:r>
              <w:rPr>
                <w:rFonts w:cs="Georgia" w:ascii="Georgia" w:hAnsi="Georgia"/>
                <w:i/>
                <w:color w:val="000000"/>
                <w:sz w:val="14"/>
                <w:szCs w:val="14"/>
              </w:rPr>
              <w:t> 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40" w:hanging="340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9, comma 2</w:t>
            </w:r>
          </w:p>
          <w:p>
            <w:pPr>
              <w:pStyle w:val="Normal"/>
              <w:ind w:left="360" w:hanging="0"/>
              <w:jc w:val="both"/>
              <w:rPr>
                <w:rStyle w:val="Provvnumcomma"/>
                <w:rFonts w:ascii="Georgia" w:hAnsi="Georgia" w:cs="Georgia"/>
                <w:i/>
                <w:i/>
                <w:sz w:val="14"/>
                <w:szCs w:val="14"/>
              </w:rPr>
            </w:pPr>
            <w:r>
              <w:rPr>
                <w:rStyle w:val="Provvnumcomma"/>
                <w:rFonts w:cs="Georgia" w:ascii="Georgia" w:hAnsi="Georgia"/>
                <w:i/>
                <w:sz w:val="14"/>
                <w:szCs w:val="14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 sono incompatibili con lo svolgimento in proprio, da parte del soggetto incaricato,  di una attività professionale, se questa è regolata, finanziata o comunque retribuita dall’amministrazione o ente che conferisce l’incarico.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12, comma 1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</w:rPr>
            </w:pPr>
            <w:r>
              <w:rPr>
                <w:rStyle w:val="Provvnumcomma"/>
                <w:rFonts w:cs="Georgia" w:ascii="Georgia" w:hAnsi="Georgia"/>
                <w:i/>
                <w:color w:val="000000"/>
                <w:sz w:val="14"/>
                <w:szCs w:val="14"/>
              </w:rPr>
              <w:t>1.</w:t>
            </w:r>
            <w:r>
              <w:rPr>
                <w:rFonts w:cs="Georgia" w:ascii="Georgia" w:hAnsi="Georgia"/>
                <w:i/>
                <w:color w:val="000000"/>
                <w:sz w:val="14"/>
                <w:szCs w:val="14"/>
              </w:rPr>
              <w:t> 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40" w:hanging="340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12, comma 2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/>
            </w:pPr>
            <w:r>
              <w:rPr>
                <w:rStyle w:val="Provvnumcomma"/>
                <w:rFonts w:cs="Georgia" w:ascii="Georgia" w:hAnsi="Georgia"/>
                <w:i/>
                <w:color w:val="000000"/>
                <w:sz w:val="14"/>
                <w:szCs w:val="14"/>
              </w:rPr>
              <w:t>2.</w:t>
            </w:r>
            <w:r>
              <w:rPr>
                <w:rFonts w:cs="Georgia" w:ascii="Georgia" w:hAnsi="Georgia"/>
                <w:i/>
                <w:color w:val="000000"/>
                <w:sz w:val="14"/>
                <w:szCs w:val="14"/>
              </w:rPr>
              <w:t xml:space="preserve"> 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</w:t>
            </w:r>
            <w:r>
              <w:rPr>
                <w:rFonts w:cs="Georgia" w:ascii="Georgia" w:hAnsi="Georgia"/>
                <w:i/>
                <w:sz w:val="14"/>
                <w:szCs w:val="14"/>
              </w:rPr>
              <w:t>all'</w:t>
            </w:r>
            <w:hyperlink r:id="rId2">
              <w:r>
                <w:rPr>
                  <w:rStyle w:val="Linkneltesto"/>
                  <w:rFonts w:cs="Georgia" w:ascii="Georgia" w:hAnsi="Georgia"/>
                  <w:i/>
                  <w:iCs/>
                  <w:sz w:val="14"/>
                  <w:szCs w:val="14"/>
                </w:rPr>
                <w:t>articolo 11 della legge 23 agosto 1988, n. 400</w:t>
              </w:r>
            </w:hyperlink>
            <w:r>
              <w:rPr>
                <w:rFonts w:cs="Georgia" w:ascii="Georgia" w:hAnsi="Georgia"/>
                <w:i/>
                <w:color w:val="000000"/>
                <w:sz w:val="14"/>
                <w:szCs w:val="14"/>
              </w:rPr>
              <w:t>, o di parlamentare.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40" w:hanging="340"/>
              <w:jc w:val="both"/>
              <w:rPr>
                <w:rFonts w:ascii="Georgia" w:hAnsi="Georgia" w:cs="Georgia"/>
                <w:b/>
                <w:b/>
                <w:sz w:val="14"/>
                <w:szCs w:val="14"/>
              </w:rPr>
            </w:pPr>
            <w:r>
              <w:rPr>
                <w:rFonts w:cs="Georgia" w:ascii="Georgia" w:hAnsi="Georgia"/>
                <w:b/>
                <w:sz w:val="14"/>
                <w:szCs w:val="14"/>
              </w:rPr>
              <w:t>Art. 12, comma 3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  <w:lang w:eastAsia="it-IT"/>
              </w:rPr>
            </w:pPr>
            <w:r>
              <w:rPr>
                <w:rFonts w:cs="Georgia" w:ascii="Georgia" w:hAnsi="Georgia"/>
                <w:i/>
                <w:color w:val="000000"/>
                <w:sz w:val="14"/>
                <w:szCs w:val="14"/>
                <w:lang w:eastAsia="it-IT"/>
              </w:rPr>
              <w:t>3.  Gli incarichi dirigenziali, interni e esterni, nelle pubbliche amministrazioni, negli enti pubblici e negli enti di diritto privato in controllo pubblico di livello regionale sono incompatibili: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  <w:lang w:eastAsia="it-IT"/>
              </w:rPr>
            </w:pPr>
            <w:r>
              <w:rPr>
                <w:rFonts w:cs="Georgia" w:ascii="Georgia" w:hAnsi="Georgia"/>
                <w:i/>
                <w:color w:val="000000"/>
                <w:sz w:val="14"/>
                <w:szCs w:val="14"/>
                <w:lang w:eastAsia="it-IT"/>
              </w:rPr>
              <w:t>a)  con la carica di componente della giunta o del consiglio della regione interessata;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  <w:lang w:eastAsia="it-IT"/>
              </w:rPr>
            </w:pPr>
            <w:r>
              <w:rPr>
                <w:rFonts w:cs="Georgia" w:ascii="Georgia" w:hAnsi="Georgia"/>
                <w:i/>
                <w:color w:val="000000"/>
                <w:sz w:val="14"/>
                <w:szCs w:val="14"/>
                <w:lang w:eastAsia="it-IT"/>
              </w:rPr>
              <w:t>b)  con la carica di componente della giunta o del consiglio di una provincia, di un comune con popolazione superiore ai 15.000 abitanti o di una forma associativa tra comuni avente la medesima popolazione della medesima regione;</w:t>
            </w:r>
          </w:p>
          <w:p>
            <w:pPr>
              <w:pStyle w:val="Normal"/>
              <w:spacing w:lineRule="auto" w:line="240" w:before="0" w:after="0"/>
              <w:ind w:left="340" w:hanging="0"/>
              <w:jc w:val="both"/>
              <w:rPr>
                <w:rFonts w:ascii="Georgia" w:hAnsi="Georgia" w:cs="Georgia"/>
                <w:i/>
                <w:i/>
                <w:color w:val="000000"/>
                <w:sz w:val="14"/>
                <w:szCs w:val="14"/>
                <w:lang w:eastAsia="it-IT"/>
              </w:rPr>
            </w:pPr>
            <w:r>
              <w:rPr>
                <w:rFonts w:cs="Georgia" w:ascii="Georgia" w:hAnsi="Georgia"/>
                <w:i/>
                <w:color w:val="000000"/>
                <w:sz w:val="14"/>
                <w:szCs w:val="14"/>
                <w:lang w:eastAsia="it-IT"/>
              </w:rPr>
              <w:t>c)  con la carica di presidente e amministratore delegato di enti di diritto privato in controllo pubblico da parte della regione.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624" w:top="2375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Footlight MT Light">
    <w:charset w:val="00"/>
    <w:family w:val="roman"/>
    <w:pitch w:val="variable"/>
  </w:font>
  <w:font w:name="Book Antiqua">
    <w:charset w:val="00"/>
    <w:family w:val="roman"/>
    <w:pitch w:val="variable"/>
  </w:font>
  <w:font w:name="Square721 BT">
    <w:altName w:val="Tahoma"/>
    <w:charset w:val="00"/>
    <w:family w:val="roman"/>
    <w:pitch w:val="variable"/>
  </w:font>
  <w:font w:name="Times-Bold">
    <w:charset w:val="00"/>
    <w:family w:val="roman"/>
    <w:pitch w:val="variable"/>
  </w:font>
  <w:font w:name="Times-Ital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center"/>
      <w:rPr>
        <w:rFonts w:ascii="Georgia" w:hAnsi="Georgia" w:cs="Georgia"/>
        <w:b/>
        <w:b/>
        <w:sz w:val="16"/>
        <w:szCs w:val="16"/>
      </w:rPr>
    </w:pPr>
    <w:r>
      <w:rPr>
        <w:rFonts w:cs="Georgia" w:ascii="Georgia" w:hAnsi="Georgia"/>
        <w:b/>
        <w:sz w:val="16"/>
        <w:szCs w:val="16"/>
      </w:rPr>
    </w:r>
  </w:p>
  <w:p>
    <w:pPr>
      <w:pStyle w:val="Pidipagina1"/>
      <w:spacing w:before="0" w:after="200"/>
      <w:jc w:val="right"/>
      <w:rPr>
        <w:b/>
        <w:b/>
        <w:color w:val="215868"/>
        <w:sz w:val="28"/>
        <w:szCs w:val="28"/>
      </w:rPr>
    </w:pPr>
    <w:r>
      <w:rPr>
        <w:b/>
        <w:color w:val="215868"/>
        <w:sz w:val="28"/>
        <w:szCs w:val="2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center"/>
      <w:tblInd w:w="0" w:type="dxa"/>
      <w:tblBorders>
        <w:top w:val="single" w:sz="4" w:space="0" w:color="00B050"/>
        <w:bottom w:val="single" w:sz="4" w:space="0" w:color="00B050"/>
        <w:insideH w:val="single" w:sz="4" w:space="0" w:color="00B050"/>
      </w:tblBorders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2823"/>
      <w:gridCol w:w="6814"/>
    </w:tblGrid>
    <w:tr>
      <w:trPr/>
      <w:tc>
        <w:tcPr>
          <w:tcW w:w="2823" w:type="dxa"/>
          <w:tcBorders>
            <w:top w:val="single" w:sz="4" w:space="0" w:color="00B050"/>
            <w:bottom w:val="single" w:sz="4" w:space="0" w:color="00B050"/>
            <w:insideH w:val="single" w:sz="4" w:space="0" w:color="00B050"/>
          </w:tcBorders>
          <w:shd w:fill="auto" w:val="clear"/>
        </w:tcPr>
        <w:p>
          <w:pPr>
            <w:pStyle w:val="Normal"/>
            <w:spacing w:lineRule="auto" w:line="240" w:before="0" w:after="0"/>
            <w:rPr>
              <w:rFonts w:ascii="Times New Roman" w:hAnsi="Times New Roman" w:eastAsia="Times New Roman"/>
              <w:sz w:val="20"/>
              <w:szCs w:val="20"/>
            </w:rPr>
          </w:pPr>
          <w:r>
            <w:rPr>
              <w:rFonts w:eastAsia="Times New Roman" w:ascii="Times New Roman" w:hAnsi="Times New Roman"/>
              <w:sz w:val="20"/>
              <w:szCs w:val="20"/>
            </w:rPr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7620</wp:posOffset>
                </wp:positionH>
                <wp:positionV relativeFrom="paragraph">
                  <wp:posOffset>99695</wp:posOffset>
                </wp:positionV>
                <wp:extent cx="1637665" cy="787400"/>
                <wp:effectExtent l="0" t="0" r="0" b="0"/>
                <wp:wrapSquare wrapText="bothSides"/>
                <wp:docPr id="1" name="Immagine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665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4" w:type="dxa"/>
          <w:tcBorders>
            <w:top w:val="single" w:sz="4" w:space="0" w:color="00B050"/>
            <w:bottom w:val="single" w:sz="4" w:space="0" w:color="00B050"/>
            <w:insideH w:val="single" w:sz="4" w:space="0" w:color="00B050"/>
          </w:tcBorders>
          <w:shd w:fill="auto" w:val="clear"/>
        </w:tcPr>
        <w:p>
          <w:pPr>
            <w:pStyle w:val="Normal"/>
            <w:spacing w:lineRule="auto" w:line="240" w:before="0" w:after="0"/>
            <w:jc w:val="center"/>
            <w:rPr>
              <w:rFonts w:ascii="Times-Bold" w:hAnsi="Times-Bold" w:eastAsia="Times New Roman" w:cs="Times-Bold"/>
              <w:b/>
              <w:b/>
              <w:bCs/>
              <w:color w:val="508E24"/>
              <w:sz w:val="20"/>
              <w:szCs w:val="20"/>
            </w:rPr>
          </w:pPr>
          <w:r>
            <w:rPr>
              <w:rFonts w:eastAsia="Times New Roman" w:cs="Times-Bold" w:ascii="Times-Bold" w:hAnsi="Times-Bold"/>
              <w:b/>
              <w:bCs/>
              <w:color w:val="508E24"/>
              <w:sz w:val="20"/>
              <w:szCs w:val="20"/>
            </w:rPr>
            <w:t>ORDINE DEI DOTTORI AGRONOMI E DOTTORI FORESTALI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-Bold" w:hAnsi="Times-Bold" w:eastAsia="Times New Roman" w:cs="Times-Bold"/>
              <w:b/>
              <w:b/>
              <w:bCs/>
              <w:color w:val="508E24"/>
              <w:sz w:val="20"/>
              <w:szCs w:val="20"/>
              <w:lang w:val="fr-FR"/>
            </w:rPr>
          </w:pPr>
          <w:r>
            <w:rPr>
              <w:rFonts w:eastAsia="Times New Roman" w:cs="Times-Bold" w:ascii="Times-Bold" w:hAnsi="Times-Bold"/>
              <w:b/>
              <w:bCs/>
              <w:color w:val="508E24"/>
              <w:sz w:val="20"/>
              <w:szCs w:val="20"/>
              <w:lang w:val="fr-FR"/>
            </w:rPr>
            <w:t>della VALLE D’AOSTA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-Bold" w:hAnsi="Times-Bold" w:eastAsia="Times New Roman" w:cs="Times-Bold"/>
              <w:b/>
              <w:b/>
              <w:bCs/>
              <w:color w:val="508E24"/>
              <w:sz w:val="20"/>
              <w:szCs w:val="20"/>
              <w:lang w:val="fr-FR"/>
            </w:rPr>
          </w:pPr>
          <w:r>
            <w:rPr>
              <w:rFonts w:eastAsia="Times New Roman" w:cs="Times-Bold" w:ascii="Times-Bold" w:hAnsi="Times-Bold"/>
              <w:b/>
              <w:bCs/>
              <w:color w:val="508E24"/>
              <w:sz w:val="20"/>
              <w:szCs w:val="20"/>
              <w:lang w:val="fr-FR"/>
            </w:rPr>
            <w:t>ORDRE DES DOCTEURS AGRONOMES ET FORESTIERS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-Bold" w:hAnsi="Times-Bold" w:eastAsia="Times New Roman" w:cs="Times-Bold"/>
              <w:b/>
              <w:b/>
              <w:bCs/>
              <w:color w:val="508E24"/>
              <w:sz w:val="20"/>
              <w:szCs w:val="20"/>
            </w:rPr>
          </w:pPr>
          <w:r>
            <w:rPr>
              <w:rFonts w:eastAsia="Times New Roman" w:cs="Times-Bold" w:ascii="Times-Bold" w:hAnsi="Times-Bold"/>
              <w:b/>
              <w:bCs/>
              <w:color w:val="508E24"/>
              <w:sz w:val="20"/>
              <w:szCs w:val="20"/>
            </w:rPr>
            <w:t>de la VALLÉE D’AOSTE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-Italic" w:hAnsi="Times-Italic" w:eastAsia="Times New Roman" w:cs="Times-Italic"/>
              <w:i/>
              <w:i/>
              <w:iCs/>
              <w:color w:val="508E24"/>
              <w:sz w:val="18"/>
              <w:szCs w:val="18"/>
            </w:rPr>
          </w:pPr>
          <w:r>
            <w:rPr>
              <w:rFonts w:eastAsia="Times New Roman" w:cs="Times-Italic" w:ascii="Times-Italic" w:hAnsi="Times-Italic"/>
              <w:i/>
              <w:iCs/>
              <w:color w:val="508E24"/>
              <w:sz w:val="18"/>
              <w:szCs w:val="18"/>
            </w:rPr>
            <w:t>Sede legale: reg. La Rochère 1/A – 11100 AOSTA</w:t>
          </w:r>
        </w:p>
        <w:p>
          <w:pPr>
            <w:pStyle w:val="Normal"/>
            <w:spacing w:lineRule="auto" w:line="240" w:before="0" w:after="0"/>
            <w:jc w:val="center"/>
            <w:rPr/>
          </w:pPr>
          <w:r>
            <w:rPr>
              <w:rFonts w:eastAsia="Times New Roman" w:cs="Times-Italic" w:ascii="Times-Italic" w:hAnsi="Times-Italic"/>
              <w:i/>
              <w:iCs/>
              <w:color w:val="508E24"/>
              <w:sz w:val="18"/>
              <w:szCs w:val="18"/>
            </w:rPr>
            <w:t xml:space="preserve">E-mail: </w:t>
          </w:r>
          <w:hyperlink r:id="rId2">
            <w:r>
              <w:rPr>
                <w:rStyle w:val="CollegamentoInternet"/>
                <w:rFonts w:eastAsia="Times New Roman" w:cs="Times-Italic" w:ascii="Times-Italic" w:hAnsi="Times-Italic"/>
                <w:i/>
                <w:iCs/>
                <w:color w:val="0000FF"/>
                <w:sz w:val="18"/>
                <w:szCs w:val="18"/>
                <w:u w:val="single"/>
              </w:rPr>
              <w:t>ordineaosta@conaf.it</w:t>
            </w:r>
          </w:hyperlink>
          <w:r>
            <w:rPr>
              <w:rFonts w:eastAsia="Times New Roman" w:cs="Times-Italic" w:ascii="Times-Italic" w:hAnsi="Times-Italic"/>
              <w:i/>
              <w:iCs/>
              <w:color w:val="508E24"/>
              <w:sz w:val="18"/>
              <w:szCs w:val="18"/>
            </w:rPr>
            <w:t xml:space="preserve">    PEC: protocollo.odaf.aosta@conafpec.it</w:t>
          </w:r>
        </w:p>
        <w:p>
          <w:pPr>
            <w:pStyle w:val="Normal"/>
            <w:spacing w:lineRule="auto" w:line="240" w:before="0" w:after="0"/>
            <w:jc w:val="center"/>
            <w:rPr>
              <w:rFonts w:ascii="Times New Roman" w:hAnsi="Times New Roman" w:eastAsia="Times New Roman"/>
              <w:sz w:val="20"/>
              <w:szCs w:val="20"/>
            </w:rPr>
          </w:pPr>
          <w:r>
            <w:rPr>
              <w:rFonts w:eastAsia="Times New Roman" w:cs="Times-Italic" w:ascii="Times-Italic" w:hAnsi="Times-Italic"/>
              <w:i/>
              <w:iCs/>
              <w:color w:val="508E24"/>
              <w:sz w:val="18"/>
              <w:szCs w:val="18"/>
            </w:rPr>
            <w:t xml:space="preserve">Servizio segreteria: tel. 011/4373429 - fax 011/7432070  </w:t>
          </w:r>
        </w:p>
      </w:tc>
    </w:tr>
  </w:tbl>
  <w:p>
    <w:pPr>
      <w:pStyle w:val="Intestazione1"/>
      <w:rPr>
        <w:szCs w:val="16"/>
      </w:rPr>
    </w:pPr>
    <w:r>
      <w:rPr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upperLetter"/>
      <w:lvlText w:val="%1."/>
      <w:lvlJc w:val="left"/>
      <w:pPr>
        <w:ind w:left="720" w:hanging="360"/>
      </w:pPr>
      <w:rPr>
        <w:sz w:val="20"/>
        <w:i w:val="false"/>
        <w:shadow w:val="false"/>
        <w:b/>
        <w:szCs w:val="22"/>
        <w:rFonts w:ascii="Georgia" w:hAnsi="Georgia"/>
        <w:color w:val="21586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outline w:val="false"/>
        <w:sz w:val="14"/>
        <w:i w:val="false"/>
        <w:shadow w:val="false"/>
        <w:b/>
        <w:szCs w:val="22"/>
        <w:emboss/>
        <w:rFonts w:cs="Symbol"/>
        <w:color w:val="99000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sz w:val="20"/>
        <w:i w:val="false"/>
        <w:shadow w:val="false"/>
        <w:b/>
        <w:szCs w:val="22"/>
        <w:rFonts w:ascii="Georgia" w:hAnsi="Georgia"/>
        <w:color w:val="21586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  <w:i w:val="false"/>
        <w:b/>
        <w:rFonts w:cs="Symbol"/>
        <w:color w:val="00000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sz w:val="20"/>
        <w:i w:val="false"/>
        <w:shadow w:val="false"/>
        <w:b/>
        <w:szCs w:val="22"/>
        <w:rFonts w:ascii="Book Antiqua" w:hAnsi="Book Antiqua"/>
        <w:color w:val="21586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6">
    <w:lvl w:ilvl="0">
      <w:start w:val="2"/>
      <w:numFmt w:val="upperLetter"/>
      <w:lvlText w:val="%1."/>
      <w:lvlJc w:val="left"/>
      <w:pPr>
        <w:ind w:left="720" w:hanging="360"/>
      </w:pPr>
      <w:rPr>
        <w:sz w:val="20"/>
        <w:i w:val="false"/>
        <w:shadow w:val="false"/>
        <w:b/>
        <w:szCs w:val="22"/>
        <w:rFonts w:ascii="Book Antiqua" w:hAnsi="Book Antiqua"/>
        <w:color w:val="215868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757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75710"/>
    <w:rPr>
      <w:rFonts w:ascii="Bookman Old Style" w:hAnsi="Bookman Old Style" w:cs="Times New Roman"/>
      <w:b/>
      <w:i w:val="false"/>
      <w:color w:val="660033"/>
      <w:sz w:val="22"/>
      <w:szCs w:val="22"/>
    </w:rPr>
  </w:style>
  <w:style w:type="character" w:styleId="WW8Num1z1" w:customStyle="1">
    <w:name w:val="WW8Num1z1"/>
    <w:qFormat/>
    <w:rsid w:val="00a75710"/>
    <w:rPr>
      <w:rFonts w:cs="Times New Roman"/>
    </w:rPr>
  </w:style>
  <w:style w:type="character" w:styleId="WW8Num2z0" w:customStyle="1">
    <w:name w:val="WW8Num2z0"/>
    <w:qFormat/>
    <w:rsid w:val="00a75710"/>
    <w:rPr>
      <w:rFonts w:ascii="Bookman Old Style" w:hAnsi="Bookman Old Style" w:cs="Times New Roman"/>
      <w:b/>
      <w:i w:val="false"/>
      <w:color w:val="660033"/>
      <w:sz w:val="22"/>
      <w:szCs w:val="22"/>
    </w:rPr>
  </w:style>
  <w:style w:type="character" w:styleId="WW8Num2z1" w:customStyle="1">
    <w:name w:val="WW8Num2z1"/>
    <w:qFormat/>
    <w:rsid w:val="00a75710"/>
    <w:rPr>
      <w:rFonts w:cs="Times New Roman"/>
    </w:rPr>
  </w:style>
  <w:style w:type="character" w:styleId="WW8Num3z0" w:customStyle="1">
    <w:name w:val="WW8Num3z0"/>
    <w:qFormat/>
    <w:rsid w:val="00a75710"/>
    <w:rPr>
      <w:rFonts w:ascii="Bookman Old Style" w:hAnsi="Bookman Old Style" w:cs="Times New Roman"/>
      <w:b/>
      <w:i w:val="false"/>
      <w:color w:val="660033"/>
      <w:sz w:val="22"/>
      <w:szCs w:val="22"/>
    </w:rPr>
  </w:style>
  <w:style w:type="character" w:styleId="WW8Num3z1" w:customStyle="1">
    <w:name w:val="WW8Num3z1"/>
    <w:qFormat/>
    <w:rsid w:val="00a75710"/>
    <w:rPr>
      <w:rFonts w:cs="Times New Roman"/>
      <w:i w:val="false"/>
      <w:color w:val="002060"/>
    </w:rPr>
  </w:style>
  <w:style w:type="character" w:styleId="WW8Num3z2" w:customStyle="1">
    <w:name w:val="WW8Num3z2"/>
    <w:qFormat/>
    <w:rsid w:val="00a75710"/>
    <w:rPr>
      <w:rFonts w:cs="Times New Roman"/>
      <w:i w:val="false"/>
      <w:color w:val="990000"/>
    </w:rPr>
  </w:style>
  <w:style w:type="character" w:styleId="WW8Num3z3" w:customStyle="1">
    <w:name w:val="WW8Num3z3"/>
    <w:qFormat/>
    <w:rsid w:val="00a75710"/>
    <w:rPr>
      <w:rFonts w:cs="Times New Roman"/>
      <w:i w:val="false"/>
    </w:rPr>
  </w:style>
  <w:style w:type="character" w:styleId="WW8Num4z0" w:customStyle="1">
    <w:name w:val="WW8Num4z0"/>
    <w:qFormat/>
    <w:rsid w:val="00a75710"/>
    <w:rPr>
      <w:rFonts w:ascii="Georgia" w:hAnsi="Georgia" w:cs="Times New Roman"/>
      <w:b/>
      <w:i w:val="false"/>
      <w:shadow w:val="false"/>
      <w:color w:val="215868"/>
      <w:sz w:val="22"/>
      <w:szCs w:val="22"/>
    </w:rPr>
  </w:style>
  <w:style w:type="character" w:styleId="WW8Num4z1" w:customStyle="1">
    <w:name w:val="WW8Num4z1"/>
    <w:qFormat/>
    <w:rsid w:val="00a75710"/>
    <w:rPr>
      <w:rFonts w:cs="Times New Roman"/>
    </w:rPr>
  </w:style>
  <w:style w:type="character" w:styleId="WW8Num5z0" w:customStyle="1">
    <w:name w:val="WW8Num5z0"/>
    <w:qFormat/>
    <w:rsid w:val="00a75710"/>
    <w:rPr>
      <w:rFonts w:ascii="Symbol" w:hAnsi="Symbol" w:cs="Symbol"/>
      <w:b/>
      <w:i w:val="false"/>
      <w:outline w:val="false"/>
      <w:shadow w:val="false"/>
      <w:emboss/>
      <w:color w:val="990000"/>
      <w:sz w:val="22"/>
      <w:szCs w:val="22"/>
    </w:rPr>
  </w:style>
  <w:style w:type="character" w:styleId="WW8Num5z1" w:customStyle="1">
    <w:name w:val="WW8Num5z1"/>
    <w:qFormat/>
    <w:rsid w:val="00a75710"/>
    <w:rPr>
      <w:rFonts w:ascii="Courier New" w:hAnsi="Courier New" w:cs="Courier New"/>
    </w:rPr>
  </w:style>
  <w:style w:type="character" w:styleId="WW8Num5z2" w:customStyle="1">
    <w:name w:val="WW8Num5z2"/>
    <w:qFormat/>
    <w:rsid w:val="00a75710"/>
    <w:rPr>
      <w:rFonts w:ascii="Wingdings" w:hAnsi="Wingdings" w:cs="Wingdings"/>
    </w:rPr>
  </w:style>
  <w:style w:type="character" w:styleId="WW8Num5z3" w:customStyle="1">
    <w:name w:val="WW8Num5z3"/>
    <w:qFormat/>
    <w:rsid w:val="00a75710"/>
    <w:rPr>
      <w:rFonts w:ascii="Symbol" w:hAnsi="Symbol" w:cs="Symbol"/>
    </w:rPr>
  </w:style>
  <w:style w:type="character" w:styleId="WW8Num6z0" w:customStyle="1">
    <w:name w:val="WW8Num6z0"/>
    <w:qFormat/>
    <w:rsid w:val="00a75710"/>
    <w:rPr>
      <w:rFonts w:ascii="Georgia" w:hAnsi="Georgia" w:cs="Times New Roman"/>
      <w:b/>
      <w:i w:val="false"/>
      <w:shadow w:val="false"/>
      <w:color w:val="215868"/>
      <w:sz w:val="22"/>
      <w:szCs w:val="22"/>
    </w:rPr>
  </w:style>
  <w:style w:type="character" w:styleId="WW8Num6z1" w:customStyle="1">
    <w:name w:val="WW8Num6z1"/>
    <w:qFormat/>
    <w:rsid w:val="00a75710"/>
    <w:rPr>
      <w:rFonts w:cs="Times New Roman"/>
    </w:rPr>
  </w:style>
  <w:style w:type="character" w:styleId="WW8Num7z0" w:customStyle="1">
    <w:name w:val="WW8Num7z0"/>
    <w:qFormat/>
    <w:rsid w:val="00a75710"/>
    <w:rPr>
      <w:rFonts w:ascii="Bookman Old Style" w:hAnsi="Bookman Old Style" w:cs="Times New Roman"/>
      <w:b/>
      <w:i w:val="false"/>
      <w:color w:val="660033"/>
      <w:sz w:val="22"/>
      <w:szCs w:val="22"/>
    </w:rPr>
  </w:style>
  <w:style w:type="character" w:styleId="WW8Num7z1" w:customStyle="1">
    <w:name w:val="WW8Num7z1"/>
    <w:qFormat/>
    <w:rsid w:val="00a75710"/>
    <w:rPr>
      <w:rFonts w:cs="Times New Roman"/>
    </w:rPr>
  </w:style>
  <w:style w:type="character" w:styleId="WW8Num8z0" w:customStyle="1">
    <w:name w:val="WW8Num8z0"/>
    <w:qFormat/>
    <w:rsid w:val="00a75710"/>
    <w:rPr>
      <w:rFonts w:ascii="Symbol" w:hAnsi="Symbol" w:cs="Symbol"/>
      <w:b/>
      <w:i w:val="false"/>
      <w:color w:val="000000"/>
      <w:sz w:val="22"/>
    </w:rPr>
  </w:style>
  <w:style w:type="character" w:styleId="WW8Num8z1" w:customStyle="1">
    <w:name w:val="WW8Num8z1"/>
    <w:qFormat/>
    <w:rsid w:val="00a75710"/>
    <w:rPr>
      <w:rFonts w:ascii="Courier New" w:hAnsi="Courier New" w:cs="Courier New"/>
    </w:rPr>
  </w:style>
  <w:style w:type="character" w:styleId="WW8Num8z2" w:customStyle="1">
    <w:name w:val="WW8Num8z2"/>
    <w:qFormat/>
    <w:rsid w:val="00a75710"/>
    <w:rPr>
      <w:rFonts w:ascii="Wingdings" w:hAnsi="Wingdings" w:cs="Wingdings"/>
    </w:rPr>
  </w:style>
  <w:style w:type="character" w:styleId="WW8Num8z3" w:customStyle="1">
    <w:name w:val="WW8Num8z3"/>
    <w:qFormat/>
    <w:rsid w:val="00a75710"/>
    <w:rPr>
      <w:rFonts w:ascii="Symbol" w:hAnsi="Symbol" w:cs="Symbol"/>
    </w:rPr>
  </w:style>
  <w:style w:type="character" w:styleId="WW8Num9z0" w:customStyle="1">
    <w:name w:val="WW8Num9z0"/>
    <w:qFormat/>
    <w:rsid w:val="00a75710"/>
    <w:rPr>
      <w:rFonts w:ascii="Georgia" w:hAnsi="Georgia" w:cs="Times New Roman"/>
      <w:b/>
      <w:i w:val="false"/>
      <w:shadow w:val="false"/>
      <w:color w:val="215868"/>
      <w:sz w:val="22"/>
      <w:szCs w:val="22"/>
    </w:rPr>
  </w:style>
  <w:style w:type="character" w:styleId="WW8Num9z1" w:customStyle="1">
    <w:name w:val="WW8Num9z1"/>
    <w:qFormat/>
    <w:rsid w:val="00a75710"/>
    <w:rPr>
      <w:rFonts w:cs="Times New Roman"/>
    </w:rPr>
  </w:style>
  <w:style w:type="character" w:styleId="WW8Num10z0" w:customStyle="1">
    <w:name w:val="WW8Num10z0"/>
    <w:qFormat/>
    <w:rsid w:val="00a75710"/>
    <w:rPr>
      <w:rFonts w:ascii="Georgia" w:hAnsi="Georgia" w:cs="Times New Roman"/>
      <w:b/>
      <w:i w:val="false"/>
      <w:shadow w:val="false"/>
      <w:color w:val="215868"/>
      <w:sz w:val="22"/>
      <w:szCs w:val="22"/>
    </w:rPr>
  </w:style>
  <w:style w:type="character" w:styleId="WW8Num10z1" w:customStyle="1">
    <w:name w:val="WW8Num10z1"/>
    <w:qFormat/>
    <w:rsid w:val="00a75710"/>
    <w:rPr>
      <w:rFonts w:cs="Times New Roman"/>
    </w:rPr>
  </w:style>
  <w:style w:type="character" w:styleId="WW8Num11z0" w:customStyle="1">
    <w:name w:val="WW8Num11z0"/>
    <w:qFormat/>
    <w:rsid w:val="00a75710"/>
    <w:rPr>
      <w:rFonts w:ascii="Symbol" w:hAnsi="Symbol" w:cs="Symbol"/>
      <w:b/>
      <w:i w:val="false"/>
      <w:outline w:val="false"/>
      <w:shadow w:val="false"/>
      <w:emboss/>
      <w:color w:val="990000"/>
      <w:sz w:val="22"/>
    </w:rPr>
  </w:style>
  <w:style w:type="character" w:styleId="WW8Num11z1" w:customStyle="1">
    <w:name w:val="WW8Num11z1"/>
    <w:qFormat/>
    <w:rsid w:val="00a75710"/>
    <w:rPr>
      <w:rFonts w:ascii="Courier New" w:hAnsi="Courier New" w:cs="Courier New"/>
    </w:rPr>
  </w:style>
  <w:style w:type="character" w:styleId="WW8Num11z2" w:customStyle="1">
    <w:name w:val="WW8Num11z2"/>
    <w:qFormat/>
    <w:rsid w:val="00a75710"/>
    <w:rPr>
      <w:rFonts w:ascii="Wingdings" w:hAnsi="Wingdings" w:cs="Wingdings"/>
    </w:rPr>
  </w:style>
  <w:style w:type="character" w:styleId="WW8Num11z3" w:customStyle="1">
    <w:name w:val="WW8Num11z3"/>
    <w:qFormat/>
    <w:rsid w:val="00a75710"/>
    <w:rPr>
      <w:rFonts w:ascii="Symbol" w:hAnsi="Symbol" w:cs="Symbol"/>
    </w:rPr>
  </w:style>
  <w:style w:type="character" w:styleId="CarattereCarattere5" w:customStyle="1">
    <w:name w:val="Carattere Carattere5"/>
    <w:qFormat/>
    <w:rsid w:val="00a75710"/>
    <w:rPr>
      <w:rFonts w:ascii="Cambria" w:hAnsi="Cambria" w:cs="Times New Roman"/>
      <w:color w:val="17365D"/>
      <w:spacing w:val="5"/>
      <w:sz w:val="52"/>
    </w:rPr>
  </w:style>
  <w:style w:type="character" w:styleId="CarattereCarattere4" w:customStyle="1">
    <w:name w:val="Carattere Carattere4"/>
    <w:qFormat/>
    <w:rsid w:val="00a75710"/>
    <w:rPr>
      <w:rFonts w:ascii="Cambria" w:hAnsi="Cambria" w:cs="Times New Roman"/>
      <w:i/>
      <w:color w:val="4F81BD"/>
      <w:spacing w:val="15"/>
      <w:sz w:val="24"/>
    </w:rPr>
  </w:style>
  <w:style w:type="character" w:styleId="CarattereCarattere3" w:customStyle="1">
    <w:name w:val="Carattere Carattere3"/>
    <w:qFormat/>
    <w:rsid w:val="00a75710"/>
    <w:rPr>
      <w:rFonts w:ascii="Tahoma" w:hAnsi="Tahoma" w:cs="Times New Roman"/>
      <w:sz w:val="16"/>
    </w:rPr>
  </w:style>
  <w:style w:type="character" w:styleId="NessunaspaziaturaCarattere" w:customStyle="1">
    <w:name w:val="Nessuna spaziatura Carattere"/>
    <w:qFormat/>
    <w:rsid w:val="00a75710"/>
    <w:rPr>
      <w:rFonts w:eastAsia="Times New Roman"/>
      <w:sz w:val="22"/>
    </w:rPr>
  </w:style>
  <w:style w:type="character" w:styleId="CarattereCarattere2" w:customStyle="1">
    <w:name w:val="Carattere Carattere2"/>
    <w:qFormat/>
    <w:rsid w:val="00a75710"/>
    <w:rPr>
      <w:rFonts w:ascii="Times New Roman" w:hAnsi="Times New Roman" w:cs="Times New Roman"/>
      <w:sz w:val="24"/>
    </w:rPr>
  </w:style>
  <w:style w:type="character" w:styleId="CarattereCarattere1" w:customStyle="1">
    <w:name w:val="Carattere Carattere1"/>
    <w:qFormat/>
    <w:rsid w:val="00a75710"/>
    <w:rPr>
      <w:rFonts w:cs="Times New Roman"/>
      <w:sz w:val="22"/>
    </w:rPr>
  </w:style>
  <w:style w:type="character" w:styleId="CarattereCarattere" w:customStyle="1">
    <w:name w:val="Carattere Carattere"/>
    <w:qFormat/>
    <w:rsid w:val="00a75710"/>
    <w:rPr>
      <w:rFonts w:ascii="Arial" w:hAnsi="Arial" w:cs="Times New Roman"/>
      <w:sz w:val="24"/>
    </w:rPr>
  </w:style>
  <w:style w:type="character" w:styleId="Estremosel" w:customStyle="1">
    <w:name w:val="estremosel"/>
    <w:qFormat/>
    <w:rsid w:val="00a75710"/>
    <w:rPr/>
  </w:style>
  <w:style w:type="character" w:styleId="Appleconvertedspace" w:customStyle="1">
    <w:name w:val="apple-converted-space"/>
    <w:qFormat/>
    <w:rsid w:val="00a75710"/>
    <w:rPr/>
  </w:style>
  <w:style w:type="character" w:styleId="InternetLink" w:customStyle="1">
    <w:name w:val="Internet Link"/>
    <w:qFormat/>
    <w:rsid w:val="00a75710"/>
    <w:rPr>
      <w:rFonts w:cs="Times New Roman"/>
      <w:color w:val="0000FF"/>
      <w:u w:val="single"/>
    </w:rPr>
  </w:style>
  <w:style w:type="character" w:styleId="CitazioneintensaCarattere" w:customStyle="1">
    <w:name w:val="Citazione intensa Carattere"/>
    <w:qFormat/>
    <w:rsid w:val="00a75710"/>
    <w:rPr>
      <w:rFonts w:eastAsia="Times New Roman" w:cs="Times New Roman"/>
      <w:b/>
      <w:i/>
      <w:color w:val="4F81BD"/>
    </w:rPr>
  </w:style>
  <w:style w:type="character" w:styleId="Provvnumcomma" w:customStyle="1">
    <w:name w:val="provv_numcomma"/>
    <w:qFormat/>
    <w:rsid w:val="00a75710"/>
    <w:rPr/>
  </w:style>
  <w:style w:type="character" w:styleId="Linkneltesto" w:customStyle="1">
    <w:name w:val="link_nel_testo"/>
    <w:qFormat/>
    <w:rsid w:val="00a75710"/>
    <w:rPr/>
  </w:style>
  <w:style w:type="character" w:styleId="Numeropagina1" w:customStyle="1">
    <w:name w:val="Numero pagina1"/>
    <w:basedOn w:val="DefaultParagraphFont"/>
    <w:qFormat/>
    <w:rsid w:val="00a75710"/>
    <w:rPr>
      <w:rFonts w:ascii="Footlight MT Light" w:hAnsi="Footlight MT Light" w:cs="Footlight MT Light"/>
      <w:sz w:val="22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80223"/>
    <w:rPr>
      <w:rFonts w:ascii="Calibri" w:hAnsi="Calibri" w:eastAsia="Calibri" w:cs="Times New Roman"/>
      <w:sz w:val="22"/>
      <w:szCs w:val="22"/>
      <w:lang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80223"/>
    <w:rPr>
      <w:rFonts w:ascii="Calibri" w:hAnsi="Calibri" w:eastAsia="Calibri" w:cs="Times New Roman"/>
      <w:sz w:val="22"/>
      <w:szCs w:val="22"/>
      <w:lang w:bidi="ar-SA"/>
    </w:rPr>
  </w:style>
  <w:style w:type="character" w:styleId="ListLabel1">
    <w:name w:val="ListLabel 1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2">
    <w:name w:val="ListLabel 2"/>
    <w:qFormat/>
    <w:rPr>
      <w:rFonts w:ascii="Georgia" w:hAnsi="Georgia" w:cs="Symbol"/>
      <w:b/>
      <w:i w:val="false"/>
      <w:outline w:val="false"/>
      <w:shadow w:val="false"/>
      <w:emboss/>
      <w:color w:val="990000"/>
      <w:sz w:val="14"/>
      <w:szCs w:val="22"/>
    </w:rPr>
  </w:style>
  <w:style w:type="character" w:styleId="ListLabel3">
    <w:name w:val="ListLabel 3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4">
    <w:name w:val="ListLabel 4"/>
    <w:qFormat/>
    <w:rPr>
      <w:rFonts w:ascii="Book Antiqua" w:hAnsi="Book Antiqua" w:cs="Symbol"/>
      <w:b/>
      <w:i w:val="false"/>
      <w:color w:val="000000"/>
      <w:sz w:val="20"/>
    </w:rPr>
  </w:style>
  <w:style w:type="character" w:styleId="ListLabel5">
    <w:name w:val="ListLabel 5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character" w:styleId="ListLabel6">
    <w:name w:val="ListLabel 6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7">
    <w:name w:val="ListLabel 7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8">
    <w:name w:val="ListLabel 8"/>
    <w:qFormat/>
    <w:rPr>
      <w:rFonts w:ascii="Georgia" w:hAnsi="Georgia" w:cs="Symbol"/>
      <w:b/>
      <w:i w:val="false"/>
      <w:outline w:val="false"/>
      <w:shadow w:val="false"/>
      <w:emboss/>
      <w:color w:val="990000"/>
      <w:sz w:val="14"/>
      <w:szCs w:val="22"/>
    </w:rPr>
  </w:style>
  <w:style w:type="character" w:styleId="ListLabel9">
    <w:name w:val="ListLabel 9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10">
    <w:name w:val="ListLabel 10"/>
    <w:qFormat/>
    <w:rPr>
      <w:rFonts w:ascii="Book Antiqua" w:hAnsi="Book Antiqua" w:cs="Symbol"/>
      <w:b/>
      <w:i w:val="false"/>
      <w:color w:val="000000"/>
      <w:sz w:val="20"/>
    </w:rPr>
  </w:style>
  <w:style w:type="character" w:styleId="ListLabel11">
    <w:name w:val="ListLabel 11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character" w:styleId="ListLabel12">
    <w:name w:val="ListLabel 12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character" w:styleId="ListLabel13">
    <w:name w:val="ListLabel 13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14">
    <w:name w:val="ListLabel 14"/>
    <w:qFormat/>
    <w:rPr>
      <w:rFonts w:ascii="Georgia" w:hAnsi="Georgia" w:cs="Symbol"/>
      <w:b/>
      <w:i w:val="false"/>
      <w:outline w:val="false"/>
      <w:shadow w:val="false"/>
      <w:emboss/>
      <w:color w:val="990000"/>
      <w:sz w:val="14"/>
      <w:szCs w:val="22"/>
    </w:rPr>
  </w:style>
  <w:style w:type="character" w:styleId="ListLabel15">
    <w:name w:val="ListLabel 15"/>
    <w:qFormat/>
    <w:rPr>
      <w:rFonts w:ascii="Georgia" w:hAnsi="Georgia"/>
      <w:b/>
      <w:i w:val="false"/>
      <w:shadow w:val="false"/>
      <w:color w:val="215868"/>
      <w:sz w:val="20"/>
      <w:szCs w:val="22"/>
    </w:rPr>
  </w:style>
  <w:style w:type="character" w:styleId="ListLabel16">
    <w:name w:val="ListLabel 16"/>
    <w:qFormat/>
    <w:rPr>
      <w:rFonts w:ascii="Book Antiqua" w:hAnsi="Book Antiqua" w:cs="Symbol"/>
      <w:b/>
      <w:i w:val="false"/>
      <w:color w:val="000000"/>
      <w:sz w:val="20"/>
    </w:rPr>
  </w:style>
  <w:style w:type="character" w:styleId="ListLabel17">
    <w:name w:val="ListLabel 17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character" w:styleId="ListLabel18">
    <w:name w:val="ListLabel 18"/>
    <w:qFormat/>
    <w:rPr>
      <w:rFonts w:ascii="Book Antiqua" w:hAnsi="Book Antiqua"/>
      <w:b/>
      <w:i w:val="false"/>
      <w:shadow w:val="false"/>
      <w:color w:val="215868"/>
      <w:sz w:val="20"/>
      <w:szCs w:val="22"/>
    </w:rPr>
  </w:style>
  <w:style w:type="paragraph" w:styleId="Titolo" w:customStyle="1">
    <w:name w:val="Titolo"/>
    <w:basedOn w:val="Normal"/>
    <w:next w:val="Corpodeltesto"/>
    <w:qFormat/>
    <w:rsid w:val="00a75710"/>
    <w:pPr>
      <w:spacing w:lineRule="auto" w:line="240" w:before="0" w:after="300"/>
      <w:contextualSpacing/>
    </w:pPr>
    <w:rPr>
      <w:rFonts w:ascii="Cambria" w:hAnsi="Cambria" w:cs="Cambria"/>
      <w:color w:val="17365D"/>
      <w:spacing w:val="5"/>
      <w:sz w:val="52"/>
      <w:szCs w:val="20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rsid w:val="00a75710"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2"/>
      <w:szCs w:val="24"/>
      <w:lang w:val="it-IT" w:eastAsia="zh-CN" w:bidi="hi-IN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a75710"/>
    <w:pPr>
      <w:suppressLineNumbers/>
    </w:pPr>
    <w:rPr>
      <w:rFonts w:cs="Mangal"/>
    </w:rPr>
  </w:style>
  <w:style w:type="paragraph" w:styleId="TextBody" w:customStyle="1">
    <w:name w:val="Text Body"/>
    <w:basedOn w:val="Normal"/>
    <w:qFormat/>
    <w:rsid w:val="00a75710"/>
    <w:pPr>
      <w:spacing w:lineRule="auto" w:line="240" w:before="0" w:after="0"/>
    </w:pPr>
    <w:rPr>
      <w:rFonts w:ascii="Arial" w:hAnsi="Arial" w:cs="Arial"/>
      <w:sz w:val="24"/>
      <w:szCs w:val="20"/>
    </w:rPr>
  </w:style>
  <w:style w:type="paragraph" w:styleId="Didascalia1" w:customStyle="1">
    <w:name w:val="Didascalia1"/>
    <w:basedOn w:val="Normal"/>
    <w:qFormat/>
    <w:rsid w:val="00a757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ottotitolo">
    <w:name w:val="Sottotitolo"/>
    <w:basedOn w:val="Normal"/>
    <w:rsid w:val="00a75710"/>
    <w:pPr/>
    <w:rPr>
      <w:rFonts w:ascii="Cambria" w:hAnsi="Cambria" w:cs="Cambria"/>
      <w:i/>
      <w:color w:val="4F81BD"/>
      <w:spacing w:val="15"/>
      <w:sz w:val="24"/>
      <w:szCs w:val="20"/>
    </w:rPr>
  </w:style>
  <w:style w:type="paragraph" w:styleId="BalloonText">
    <w:name w:val="Balloon Text"/>
    <w:basedOn w:val="Normal"/>
    <w:qFormat/>
    <w:rsid w:val="00a75710"/>
    <w:pPr>
      <w:spacing w:lineRule="auto" w:line="240" w:before="0" w:after="0"/>
    </w:pPr>
    <w:rPr>
      <w:rFonts w:ascii="Tahoma" w:hAnsi="Tahoma" w:cs="Tahoma"/>
      <w:sz w:val="16"/>
      <w:szCs w:val="20"/>
    </w:rPr>
  </w:style>
  <w:style w:type="paragraph" w:styleId="NoSpacing">
    <w:name w:val="No Spacing"/>
    <w:qFormat/>
    <w:rsid w:val="00a75710"/>
    <w:pPr>
      <w:widowControl/>
      <w:suppressAutoHyphens w:val="true"/>
      <w:bidi w:val="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zh-CN" w:bidi="ar-SA"/>
    </w:rPr>
  </w:style>
  <w:style w:type="paragraph" w:styleId="Intestazione1" w:customStyle="1">
    <w:name w:val="Intestazione1"/>
    <w:basedOn w:val="Normal"/>
    <w:qFormat/>
    <w:rsid w:val="00a75710"/>
    <w:pPr>
      <w:spacing w:lineRule="auto" w:line="240" w:before="0" w:after="0"/>
    </w:pPr>
    <w:rPr>
      <w:rFonts w:ascii="Times New Roman" w:hAnsi="Times New Roman"/>
      <w:sz w:val="24"/>
      <w:szCs w:val="20"/>
    </w:rPr>
  </w:style>
  <w:style w:type="paragraph" w:styleId="Pidipagina1" w:customStyle="1">
    <w:name w:val="Piè di pagina1"/>
    <w:basedOn w:val="Normal"/>
    <w:qFormat/>
    <w:rsid w:val="00a75710"/>
    <w:pPr/>
    <w:rPr>
      <w:szCs w:val="20"/>
    </w:rPr>
  </w:style>
  <w:style w:type="paragraph" w:styleId="ListParagraph">
    <w:name w:val="List Paragraph"/>
    <w:basedOn w:val="Normal"/>
    <w:qFormat/>
    <w:rsid w:val="00a75710"/>
    <w:pPr>
      <w:spacing w:before="0" w:after="200"/>
      <w:ind w:left="720" w:hanging="0"/>
      <w:contextualSpacing/>
    </w:pPr>
    <w:rPr/>
  </w:style>
  <w:style w:type="paragraph" w:styleId="Provvr0" w:customStyle="1">
    <w:name w:val="provv_r0"/>
    <w:basedOn w:val="Normal"/>
    <w:qFormat/>
    <w:rsid w:val="00a75710"/>
    <w:pPr>
      <w:spacing w:lineRule="auto" w:line="240" w:before="280" w:after="280"/>
      <w:jc w:val="both"/>
    </w:pPr>
    <w:rPr>
      <w:rFonts w:ascii="Times New Roman" w:hAnsi="Times New Roman" w:eastAsia="Times New Roman"/>
      <w:sz w:val="24"/>
      <w:szCs w:val="24"/>
    </w:rPr>
  </w:style>
  <w:style w:type="paragraph" w:styleId="1908B561879E4FA493D43F06B79E341D" w:customStyle="1">
    <w:name w:val="1908B561879E4FA493D43F06B79E341D"/>
    <w:qFormat/>
    <w:rsid w:val="00a7571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zh-CN" w:bidi="ar-SA"/>
    </w:rPr>
  </w:style>
  <w:style w:type="paragraph" w:styleId="IntenseQuote">
    <w:name w:val="Intense Quote"/>
    <w:basedOn w:val="Normal"/>
    <w:qFormat/>
    <w:rsid w:val="00a75710"/>
    <w:pPr>
      <w:spacing w:before="200" w:after="280"/>
      <w:ind w:left="936" w:right="936" w:hanging="0"/>
    </w:pPr>
    <w:rPr>
      <w:rFonts w:eastAsia="Times New Roman"/>
      <w:b/>
      <w:i/>
      <w:color w:val="4F81BD"/>
      <w:sz w:val="20"/>
      <w:szCs w:val="20"/>
    </w:rPr>
  </w:style>
  <w:style w:type="paragraph" w:styleId="Contenutotabella" w:customStyle="1">
    <w:name w:val="Contenuto tabella"/>
    <w:basedOn w:val="Normal"/>
    <w:qFormat/>
    <w:rsid w:val="00a75710"/>
    <w:pPr>
      <w:suppressLineNumbers/>
    </w:pPr>
    <w:rPr/>
  </w:style>
  <w:style w:type="paragraph" w:styleId="Titolotabella" w:customStyle="1">
    <w:name w:val="Titolo tabella"/>
    <w:basedOn w:val="Contenutotabella"/>
    <w:qFormat/>
    <w:rsid w:val="00a75710"/>
    <w:pPr>
      <w:jc w:val="center"/>
    </w:pPr>
    <w:rPr>
      <w:b/>
      <w:bCs/>
    </w:rPr>
  </w:style>
  <w:style w:type="paragraph" w:styleId="Intestazione">
    <w:name w:val="Intestazione"/>
    <w:basedOn w:val="Normal"/>
    <w:link w:val="IntestazioneCarattere"/>
    <w:uiPriority w:val="99"/>
    <w:unhideWhenUsed/>
    <w:rsid w:val="0018022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Piè di pagina"/>
    <w:basedOn w:val="Normal"/>
    <w:link w:val="PidipaginaCarattere"/>
    <w:uiPriority w:val="99"/>
    <w:semiHidden/>
    <w:unhideWhenUsed/>
    <w:rsid w:val="0018022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a75710"/>
  </w:style>
  <w:style w:type="numbering" w:styleId="WW8Num2" w:customStyle="1">
    <w:name w:val="WW8Num2"/>
    <w:rsid w:val="00a75710"/>
  </w:style>
  <w:style w:type="numbering" w:styleId="WW8Num3" w:customStyle="1">
    <w:name w:val="WW8Num3"/>
    <w:rsid w:val="00a75710"/>
  </w:style>
  <w:style w:type="numbering" w:styleId="WW8Num4" w:customStyle="1">
    <w:name w:val="WW8Num4"/>
    <w:rsid w:val="00a75710"/>
  </w:style>
  <w:style w:type="numbering" w:styleId="WW8Num5" w:customStyle="1">
    <w:name w:val="WW8Num5"/>
    <w:rsid w:val="00a75710"/>
  </w:style>
  <w:style w:type="numbering" w:styleId="WW8Num6" w:customStyle="1">
    <w:name w:val="WW8Num6"/>
    <w:rsid w:val="00a75710"/>
  </w:style>
  <w:style w:type="numbering" w:styleId="WW8Num7" w:customStyle="1">
    <w:name w:val="WW8Num7"/>
    <w:rsid w:val="00a75710"/>
  </w:style>
  <w:style w:type="numbering" w:styleId="WW8Num8" w:customStyle="1">
    <w:name w:val="WW8Num8"/>
    <w:rsid w:val="00a75710"/>
  </w:style>
  <w:style w:type="numbering" w:styleId="WW8Num9" w:customStyle="1">
    <w:name w:val="WW8Num9"/>
    <w:rsid w:val="00a75710"/>
  </w:style>
  <w:style w:type="numbering" w:styleId="WW8Num10" w:customStyle="1">
    <w:name w:val="WW8Num10"/>
    <w:rsid w:val="00a75710"/>
  </w:style>
  <w:style w:type="numbering" w:styleId="WW8Num11" w:customStyle="1">
    <w:name w:val="WW8Num11"/>
    <w:rsid w:val="00a7571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d01.leggiditalia.it/cgi-bin/FulShow?TIPO=5&amp;NOTXT=1&amp;KEY=01LX0000109983ART1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ordineaosta@conaf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LibreOffice/5.0.6.3$Windows_x86 LibreOffice_project/490fc03b25318460cfc54456516ea2519c11d1aa</Application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2017-01-25T11:55:00Z</dcterms:created>
  <dc:creator>PC Lidia</dc:creator>
  <dc:language>en-US</dc:language>
  <cp:lastPrinted>2015-03-11T12:58:00Z</cp:lastPrinted>
  <dcterms:modified xsi:type="dcterms:W3CDTF">2025-04-01T18:32:45Z</dcterms:modified>
  <cp:revision>9</cp:revision>
  <dc:title>PRIME LINEE GUIDA AZIENDALI IN MATERIA DI LEGGE ANTICORRUZIONE (legge n. 190/2012), DECRETO LEGISLATIVO N. 39/2013 (inconferibilità/incompatibilità) e D.P.R. N. 62/2013 (Codice di Comportamento Nazionale)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